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1A1" w:rsidRPr="00C41905" w:rsidRDefault="00552AC7">
      <w:pPr>
        <w:rPr>
          <w:b/>
          <w:color w:val="0070C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1905">
        <w:rPr>
          <w:b/>
          <w:color w:val="0070C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Important information for CSWA’s:</w:t>
      </w:r>
    </w:p>
    <w:p w:rsidR="00C41905" w:rsidRPr="00C41905" w:rsidRDefault="00C41905">
      <w:pPr>
        <w:rPr>
          <w:b/>
          <w:color w:val="0070C0"/>
          <w:sz w:val="28"/>
          <w:szCs w:val="28"/>
        </w:rPr>
      </w:pPr>
      <w:r w:rsidRPr="00C41905">
        <w:rPr>
          <w:b/>
          <w:color w:val="0070C0"/>
          <w:sz w:val="28"/>
          <w:szCs w:val="28"/>
        </w:rPr>
        <w:t>Web link:</w:t>
      </w:r>
      <w:bookmarkStart w:id="0" w:name="_GoBack"/>
      <w:bookmarkEnd w:id="0"/>
    </w:p>
    <w:p w:rsidR="00C41905" w:rsidRDefault="00C41905">
      <w:pPr>
        <w:rPr>
          <w:b/>
          <w:color w:val="0070C0"/>
          <w:sz w:val="28"/>
          <w:szCs w:val="28"/>
        </w:rPr>
      </w:pPr>
      <w:hyperlink r:id="rId4" w:history="1">
        <w:r w:rsidRPr="00C41905">
          <w:rPr>
            <w:rStyle w:val="Hyperlink"/>
            <w:b/>
            <w:sz w:val="28"/>
            <w:szCs w:val="28"/>
          </w:rPr>
          <w:t>https://blsw.us.thentiaclo</w:t>
        </w:r>
        <w:r w:rsidRPr="00C41905">
          <w:rPr>
            <w:rStyle w:val="Hyperlink"/>
            <w:b/>
            <w:sz w:val="28"/>
            <w:szCs w:val="28"/>
          </w:rPr>
          <w:t>u</w:t>
        </w:r>
        <w:r w:rsidRPr="00C41905">
          <w:rPr>
            <w:rStyle w:val="Hyperlink"/>
            <w:b/>
            <w:sz w:val="28"/>
            <w:szCs w:val="28"/>
          </w:rPr>
          <w:t>d.net/webs/blsw/</w:t>
        </w:r>
      </w:hyperlink>
    </w:p>
    <w:p w:rsidR="00C41905" w:rsidRPr="00347951" w:rsidRDefault="00C41905">
      <w:pPr>
        <w:rPr>
          <w:b/>
          <w:color w:val="0070C0"/>
          <w:sz w:val="28"/>
          <w:szCs w:val="28"/>
        </w:rPr>
      </w:pPr>
      <w:r w:rsidRPr="00C41905">
        <w:rPr>
          <w:b/>
          <w:color w:val="0070C0"/>
          <w:sz w:val="28"/>
          <w:szCs w:val="28"/>
        </w:rPr>
        <w:t xml:space="preserve">Code of ethics: </w:t>
      </w:r>
      <w:hyperlink r:id="rId5" w:history="1">
        <w:r w:rsidRPr="00C41905">
          <w:rPr>
            <w:rStyle w:val="Hyperlink"/>
            <w:b/>
            <w:sz w:val="28"/>
            <w:szCs w:val="28"/>
          </w:rPr>
          <w:t>https://naswor.socialworkers.org/Memb</w:t>
        </w:r>
        <w:r w:rsidRPr="00C41905">
          <w:rPr>
            <w:rStyle w:val="Hyperlink"/>
            <w:b/>
            <w:sz w:val="28"/>
            <w:szCs w:val="28"/>
          </w:rPr>
          <w:t>e</w:t>
        </w:r>
        <w:r w:rsidRPr="00C41905">
          <w:rPr>
            <w:rStyle w:val="Hyperlink"/>
            <w:b/>
            <w:sz w:val="28"/>
            <w:szCs w:val="28"/>
          </w:rPr>
          <w:t>rship/Resources/Code-of-Ethics</w:t>
        </w:r>
      </w:hyperlink>
    </w:p>
    <w:p w:rsidR="00552AC7" w:rsidRDefault="00552AC7">
      <w:pPr>
        <w:rPr>
          <w:rFonts w:ascii="Arial" w:hAnsi="Arial" w:cs="Arial"/>
          <w:color w:val="333333"/>
          <w:sz w:val="20"/>
          <w:szCs w:val="20"/>
        </w:rPr>
      </w:pPr>
      <w:r>
        <w:t>(</w:t>
      </w:r>
      <w:r>
        <w:rPr>
          <w:rStyle w:val="Strong"/>
          <w:rFonts w:ascii="Arial" w:hAnsi="Arial" w:cs="Arial"/>
          <w:color w:val="333333"/>
          <w:sz w:val="20"/>
          <w:szCs w:val="20"/>
          <w:shd w:val="clear" w:color="auto" w:fill="F5F5F5"/>
        </w:rPr>
        <w:t>877-020-0008</w:t>
      </w:r>
    </w:p>
    <w:p w:rsidR="00552AC7" w:rsidRDefault="00552AC7">
      <w:r>
        <w:rPr>
          <w:rStyle w:val="Strong"/>
          <w:rFonts w:ascii="Arial" w:hAnsi="Arial" w:cs="Arial"/>
          <w:color w:val="333333"/>
          <w:sz w:val="20"/>
          <w:szCs w:val="20"/>
          <w:shd w:val="clear" w:color="auto" w:fill="F5F5F5"/>
        </w:rPr>
        <w:t>Licensing Requirements</w:t>
      </w:r>
      <w:r>
        <w:rPr>
          <w:rStyle w:val="Strong"/>
          <w:rFonts w:ascii="Arial" w:hAnsi="Arial" w:cs="Arial"/>
          <w:color w:val="333333"/>
          <w:sz w:val="20"/>
          <w:szCs w:val="20"/>
          <w:shd w:val="clear" w:color="auto" w:fill="F5F5F5"/>
        </w:rPr>
        <w:t>)</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(3) The person must complete the requirements of an approved plan of practice and supervision in accordance with the rules in this division of rules.</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(4) The person must pass both the examination administered by the board on the subjects listed in section (5)(a) of this rule with a score of not less than 90 per cent and a national examination for clinical social workers administered by an organization approved by the board on the subjects listed in section (5)(b) of this rule. The person may take the national exam any time after having completed 75 hours of supervision required in OAR 877-020-0010(3)(b)(A).</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(5) The subjects tested on the exam are:</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(a) For the examination on the Oregon statutes and rules:</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(A) The contents of ORS 675.510 to 675.600 and OAR chapter 877, which are the Oregon statutes and administrative rules governing the practice standards and responsibilities of a licensed clinical social worker.</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(B) Oregon Revised Statutes relating to mental health practice that may be relevant to clinical social work practice.</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(b) For the national examination:</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(A) Human Development, Diversity and Behavior in the Environment.</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(B) Assessment, Diagnosis and Treatment Planning.</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(C) Psychotherapy, Clinical Interventions and Case Management</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(D) Professional Ethics and Values.</w:t>
      </w:r>
    </w:p>
    <w:p w:rsidR="00552AC7" w:rsidRDefault="00552AC7" w:rsidP="00552AC7">
      <w:pPr>
        <w:pStyle w:val="NormalWeb"/>
        <w:shd w:val="clear" w:color="auto" w:fill="F5F5F5"/>
        <w:rPr>
          <w:rFonts w:ascii="Arial" w:hAnsi="Arial" w:cs="Arial"/>
          <w:color w:val="333333"/>
          <w:sz w:val="20"/>
          <w:szCs w:val="20"/>
        </w:rPr>
      </w:pPr>
    </w:p>
    <w:p w:rsidR="00552AC7" w:rsidRDefault="00552AC7" w:rsidP="00552AC7">
      <w:pPr>
        <w:pStyle w:val="NormalWeb"/>
        <w:shd w:val="clear" w:color="auto" w:fill="F5F5F5"/>
        <w:rPr>
          <w:rFonts w:ascii="Arial" w:hAnsi="Arial" w:cs="Arial"/>
          <w:color w:val="333333"/>
          <w:sz w:val="20"/>
          <w:szCs w:val="20"/>
        </w:rPr>
      </w:pPr>
      <w:r>
        <w:rPr>
          <w:rStyle w:val="Strong"/>
          <w:rFonts w:ascii="Arial" w:hAnsi="Arial" w:cs="Arial"/>
          <w:color w:val="333333"/>
          <w:sz w:val="20"/>
          <w:szCs w:val="20"/>
          <w:shd w:val="clear" w:color="auto" w:fill="F5F5F5"/>
        </w:rPr>
        <w:t>(</w:t>
      </w:r>
      <w:r>
        <w:rPr>
          <w:rStyle w:val="Strong"/>
          <w:rFonts w:ascii="Arial" w:hAnsi="Arial" w:cs="Arial"/>
          <w:color w:val="333333"/>
          <w:sz w:val="20"/>
          <w:szCs w:val="20"/>
          <w:shd w:val="clear" w:color="auto" w:fill="F5F5F5"/>
        </w:rPr>
        <w:t>877-020-0010</w:t>
      </w:r>
      <w:r>
        <w:rPr>
          <w:rFonts w:ascii="Arial" w:hAnsi="Arial" w:cs="Arial"/>
          <w:color w:val="333333"/>
          <w:sz w:val="20"/>
          <w:szCs w:val="20"/>
        </w:rPr>
        <w:br/>
      </w:r>
      <w:r>
        <w:rPr>
          <w:rStyle w:val="Strong"/>
          <w:rFonts w:ascii="Arial" w:hAnsi="Arial" w:cs="Arial"/>
          <w:color w:val="333333"/>
          <w:sz w:val="20"/>
          <w:szCs w:val="20"/>
          <w:shd w:val="clear" w:color="auto" w:fill="F5F5F5"/>
        </w:rPr>
        <w:t>Plan of Practice and Supervision</w:t>
      </w:r>
      <w:r>
        <w:rPr>
          <w:rStyle w:val="Strong"/>
          <w:rFonts w:ascii="Arial" w:hAnsi="Arial" w:cs="Arial"/>
          <w:color w:val="333333"/>
          <w:sz w:val="20"/>
          <w:szCs w:val="20"/>
          <w:shd w:val="clear" w:color="auto" w:fill="F5F5F5"/>
        </w:rPr>
        <w:t>)</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(3) For the associate to satisfactorily complete a plan of practice and supervision, the following requirements must be met while the associate is working under an approved plan of practice and supervision:</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lastRenderedPageBreak/>
        <w:t>(a) The contact with clients described in OAR 877-020-0009(4</w:t>
      </w:r>
      <w:proofErr w:type="gramStart"/>
      <w:r>
        <w:rPr>
          <w:rFonts w:ascii="Arial" w:hAnsi="Arial" w:cs="Arial"/>
          <w:color w:val="333333"/>
          <w:sz w:val="20"/>
          <w:szCs w:val="20"/>
        </w:rPr>
        <w:t>)(</w:t>
      </w:r>
      <w:proofErr w:type="gramEnd"/>
      <w:r>
        <w:rPr>
          <w:rFonts w:ascii="Arial" w:hAnsi="Arial" w:cs="Arial"/>
          <w:color w:val="333333"/>
          <w:sz w:val="20"/>
          <w:szCs w:val="20"/>
        </w:rPr>
        <w:t>b) must be direct contact during which the associate practices clinical social work, which is defined in ORS 675.510(2).</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(b) The associate must meet with a supervisor identified in the plan, as required in OAR 877-020-0009(4</w:t>
      </w:r>
      <w:proofErr w:type="gramStart"/>
      <w:r>
        <w:rPr>
          <w:rFonts w:ascii="Arial" w:hAnsi="Arial" w:cs="Arial"/>
          <w:color w:val="333333"/>
          <w:sz w:val="20"/>
          <w:szCs w:val="20"/>
        </w:rPr>
        <w:t>)(</w:t>
      </w:r>
      <w:proofErr w:type="gramEnd"/>
      <w:r>
        <w:rPr>
          <w:rFonts w:ascii="Arial" w:hAnsi="Arial" w:cs="Arial"/>
          <w:color w:val="333333"/>
          <w:sz w:val="20"/>
          <w:szCs w:val="20"/>
        </w:rPr>
        <w:t>d):</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(A) For a total of 100 hours over a period of not less than 24 consecutive months nor more than 60 consecutive months, of which a minimum of 50 hours must be individual supervision. The board may, at their discretion, approve a written request to extend a plan of supervision beyond the 60 month period. The associate must meet at least twice each month with a plan supervisor for a minimum of one hour. If there is a second supervisor for group supervision, the requirement in this paragraph (A) is met by a single one-hour meeting with each supervisor.</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(B) After the associate has completed the plan requirements contained in paragraph (A) of this sub-section, the associate must continue to meet at least once each month with a plan supervisor for a minimum of one hour.</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(c) At least 50 supervision hours, group or individual, must be with a supervisor as defined in OAR 877-020-0012(1) or (2)(a).</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(d) No more than 50 supervision hours, group or individual, may be with a supervisor as defined in OAR 877-020-0012(2)(b).</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(e) Supervision required in this rule must be accomplished:</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(A) In person, in a professional setting; or</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(B) By electronic video-conferencing media, provided that the first and final supervisory sessions and at least one supervisory session each quarter be conducted in person pursuant to subsection (A) above.</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(f) The associate must submit to the board, on a form provided by the board, each evaluation by the supervisor (or supervisors in the event two or more are authorized) required by OAR 877-020-0012(2</w:t>
      </w:r>
      <w:proofErr w:type="gramStart"/>
      <w:r>
        <w:rPr>
          <w:rFonts w:ascii="Arial" w:hAnsi="Arial" w:cs="Arial"/>
          <w:color w:val="333333"/>
          <w:sz w:val="20"/>
          <w:szCs w:val="20"/>
        </w:rPr>
        <w:t>)(</w:t>
      </w:r>
      <w:proofErr w:type="gramEnd"/>
      <w:r>
        <w:rPr>
          <w:rFonts w:ascii="Arial" w:hAnsi="Arial" w:cs="Arial"/>
          <w:color w:val="333333"/>
          <w:sz w:val="20"/>
          <w:szCs w:val="20"/>
        </w:rPr>
        <w:t>e)(A) of the progress by the associate toward completion of the plan.</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(g) The associate must pass the national examination required by OAR 877-020-0008.</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(h) The associate must work with each supervisor identified in an approved plan for not less than six months unless</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(A) A change in supervision is required by a reason outside the control of the associate and the board approves the change; or</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(B) The associate has completed the requirements of the plan.</w:t>
      </w:r>
    </w:p>
    <w:p w:rsidR="00552AC7" w:rsidRDefault="00552AC7" w:rsidP="00552AC7">
      <w:pPr>
        <w:pStyle w:val="NormalWeb"/>
        <w:shd w:val="clear" w:color="auto" w:fill="F5F5F5"/>
        <w:rPr>
          <w:rFonts w:ascii="Arial" w:hAnsi="Arial" w:cs="Arial"/>
          <w:color w:val="333333"/>
          <w:sz w:val="20"/>
          <w:szCs w:val="20"/>
        </w:rPr>
      </w:pPr>
      <w:r>
        <w:rPr>
          <w:rFonts w:ascii="Arial" w:hAnsi="Arial" w:cs="Arial"/>
          <w:color w:val="333333"/>
          <w:sz w:val="20"/>
          <w:szCs w:val="20"/>
        </w:rPr>
        <w:t>(4) In the event of a disaster or emergency declared by the Governor of Oregon, the supervision requirements set out in subsection (3)(e)(B) above all may be conducted via telephone or electronic video-conference, with no requirement for any in-person meetings, during the period of the emergency declaration and for 90 days following the lifting of the emergency declaration.</w:t>
      </w:r>
    </w:p>
    <w:p w:rsidR="00552AC7" w:rsidRDefault="00AE5774">
      <w:r>
        <w:t>(Oregon.gov Board Site)</w:t>
      </w:r>
    </w:p>
    <w:p w:rsidR="00AE5774" w:rsidRPr="00AE5774" w:rsidRDefault="00AE5774" w:rsidP="00AE5774">
      <w:pPr>
        <w:shd w:val="clear" w:color="auto" w:fill="F5F5F5"/>
        <w:spacing w:after="180" w:line="240" w:lineRule="auto"/>
        <w:ind w:left="720"/>
        <w:rPr>
          <w:rFonts w:ascii="Helvetica" w:eastAsia="Times New Roman" w:hAnsi="Helvetica" w:cs="Helvetica"/>
          <w:color w:val="333333"/>
          <w:sz w:val="21"/>
          <w:szCs w:val="21"/>
        </w:rPr>
      </w:pPr>
      <w:r w:rsidRPr="00AE5774">
        <w:rPr>
          <w:rFonts w:ascii="Helvetica" w:eastAsia="Times New Roman" w:hAnsi="Helvetica" w:cs="Helvetica"/>
          <w:color w:val="333333"/>
          <w:sz w:val="21"/>
          <w:szCs w:val="21"/>
        </w:rPr>
        <w:t>Plan of Supervision</w:t>
      </w:r>
    </w:p>
    <w:p w:rsidR="00AE5774" w:rsidRPr="00AE5774" w:rsidRDefault="00AE5774" w:rsidP="00AE5774">
      <w:pPr>
        <w:shd w:val="clear" w:color="auto" w:fill="F5F5F5"/>
        <w:spacing w:after="0" w:line="240" w:lineRule="auto"/>
        <w:ind w:left="2700"/>
        <w:jc w:val="right"/>
        <w:rPr>
          <w:rFonts w:ascii="Helvetica" w:eastAsia="Times New Roman" w:hAnsi="Helvetica" w:cs="Helvetica"/>
          <w:b/>
          <w:bCs/>
          <w:color w:val="333333"/>
          <w:sz w:val="21"/>
          <w:szCs w:val="21"/>
        </w:rPr>
      </w:pPr>
      <w:r w:rsidRPr="00AE5774">
        <w:rPr>
          <w:rFonts w:ascii="Helvetica" w:eastAsia="Times New Roman" w:hAnsi="Helvetica" w:cs="Helvetica"/>
          <w:b/>
          <w:bCs/>
          <w:color w:val="333333"/>
          <w:sz w:val="21"/>
          <w:szCs w:val="21"/>
        </w:rPr>
        <w:t>Content</w:t>
      </w:r>
    </w:p>
    <w:p w:rsidR="00AE5774" w:rsidRPr="00AE5774" w:rsidRDefault="00AE5774" w:rsidP="00AE5774">
      <w:pPr>
        <w:shd w:val="clear" w:color="auto" w:fill="F5F5F5"/>
        <w:spacing w:after="150" w:line="240" w:lineRule="auto"/>
        <w:ind w:left="720"/>
        <w:rPr>
          <w:rFonts w:ascii="Helvetica" w:eastAsia="Times New Roman" w:hAnsi="Helvetica" w:cs="Helvetica"/>
          <w:color w:val="333333"/>
          <w:sz w:val="21"/>
          <w:szCs w:val="21"/>
        </w:rPr>
      </w:pPr>
      <w:r w:rsidRPr="00AE5774">
        <w:rPr>
          <w:rFonts w:ascii="Helvetica" w:eastAsia="Times New Roman" w:hAnsi="Helvetica" w:cs="Helvetica"/>
          <w:color w:val="333333"/>
          <w:sz w:val="21"/>
          <w:szCs w:val="21"/>
        </w:rPr>
        <w:t xml:space="preserve">A CSWA is not a license to practice clinical social work without having an approved plan of supervision on file. If the CSWA is to go on a leave of absence for three weeks or more, the certificate must be placed on inactive status, by submitting a status change request in the </w:t>
      </w:r>
      <w:r w:rsidRPr="00AE5774">
        <w:rPr>
          <w:rFonts w:ascii="Helvetica" w:eastAsia="Times New Roman" w:hAnsi="Helvetica" w:cs="Helvetica"/>
          <w:color w:val="333333"/>
          <w:sz w:val="21"/>
          <w:szCs w:val="21"/>
        </w:rPr>
        <w:lastRenderedPageBreak/>
        <w:t>portal. A supervision report will need to be submitted for hours prior to leave. The reporting period will begin again once the CSWA is reactivated.​ Supervision must occur a minimum of twice per month for at least one hour. One session for 2 hours does not meet this requirement. There is no maximum of supervision as long as the supervision meets the criteria in the rules and laws listed below. Not meeting the minimum requirement of supervision may result in board action, or loss of hours. </w:t>
      </w:r>
    </w:p>
    <w:p w:rsidR="00AE5774" w:rsidRPr="00AE5774" w:rsidRDefault="00AE5774" w:rsidP="00AE5774">
      <w:pPr>
        <w:shd w:val="clear" w:color="auto" w:fill="F5F5F5"/>
        <w:spacing w:after="150" w:line="240" w:lineRule="auto"/>
        <w:ind w:left="720"/>
        <w:rPr>
          <w:rFonts w:ascii="Helvetica" w:eastAsia="Times New Roman" w:hAnsi="Helvetica" w:cs="Helvetica"/>
          <w:color w:val="333333"/>
          <w:sz w:val="21"/>
          <w:szCs w:val="21"/>
        </w:rPr>
      </w:pPr>
      <w:r w:rsidRPr="00AE5774">
        <w:rPr>
          <w:rFonts w:ascii="Helvetica" w:eastAsia="Times New Roman" w:hAnsi="Helvetica" w:cs="Helvetica"/>
          <w:color w:val="333333"/>
          <w:sz w:val="21"/>
          <w:szCs w:val="21"/>
        </w:rPr>
        <w:t xml:space="preserve">An initial plan is approved upon approval of the application. If there are any changes to the employer or clinical supervisor, a CSWA plan change must be submitted. Plan changes are submitted electronically by the CSWA in </w:t>
      </w:r>
      <w:proofErr w:type="spellStart"/>
      <w:r w:rsidRPr="00AE5774">
        <w:rPr>
          <w:rFonts w:ascii="Helvetica" w:eastAsia="Times New Roman" w:hAnsi="Helvetica" w:cs="Helvetica"/>
          <w:color w:val="333333"/>
          <w:sz w:val="21"/>
          <w:szCs w:val="21"/>
        </w:rPr>
        <w:t>thier</w:t>
      </w:r>
      <w:proofErr w:type="spellEnd"/>
      <w:r w:rsidRPr="00AE5774">
        <w:rPr>
          <w:rFonts w:ascii="Helvetica" w:eastAsia="Times New Roman" w:hAnsi="Helvetica" w:cs="Helvetica"/>
          <w:color w:val="333333"/>
          <w:sz w:val="21"/>
          <w:szCs w:val="21"/>
        </w:rPr>
        <w:t xml:space="preserve"> license portal. If possible, submit plan change prior to the change occurring. It is important to remember that if the CSWA has left the approved employer, or stopped seeing the approved supervisor, not only will hours not count, but practicing would be out of compliance and may result in board action. </w:t>
      </w:r>
    </w:p>
    <w:p w:rsidR="00AE5774" w:rsidRPr="00AE5774" w:rsidRDefault="00AE5774" w:rsidP="00AE5774">
      <w:pPr>
        <w:shd w:val="clear" w:color="auto" w:fill="F5F5F5"/>
        <w:spacing w:after="150" w:line="240" w:lineRule="auto"/>
        <w:ind w:left="720"/>
        <w:rPr>
          <w:rFonts w:ascii="Helvetica" w:eastAsia="Times New Roman" w:hAnsi="Helvetica" w:cs="Helvetica"/>
          <w:color w:val="333333"/>
          <w:sz w:val="21"/>
          <w:szCs w:val="21"/>
        </w:rPr>
      </w:pPr>
      <w:r w:rsidRPr="00AE5774">
        <w:rPr>
          <w:rFonts w:ascii="Helvetica" w:eastAsia="Times New Roman" w:hAnsi="Helvetica" w:cs="Helvetica"/>
          <w:color w:val="333333"/>
          <w:sz w:val="21"/>
          <w:szCs w:val="21"/>
        </w:rPr>
        <w:t>A CSWA may only practice clinical social work outside of the approved plan of supervision if provided a QMHP or QMHA by the MHACBO. Under a QMHP/QMHA one may practice clinically but no hours will count until plan of supervision is approved. A CSWA may practice non clinical social work, go through on site orientation or shadow other clinicians, but may not see clients or act in a clinical capacity until the approval is given. </w:t>
      </w:r>
    </w:p>
    <w:p w:rsidR="00AE5774" w:rsidRPr="00AE5774" w:rsidRDefault="00AE5774" w:rsidP="00AE5774">
      <w:pPr>
        <w:shd w:val="clear" w:color="auto" w:fill="F5F5F5"/>
        <w:spacing w:after="150" w:line="240" w:lineRule="auto"/>
        <w:ind w:left="720"/>
        <w:rPr>
          <w:rFonts w:ascii="Helvetica" w:eastAsia="Times New Roman" w:hAnsi="Helvetica" w:cs="Helvetica"/>
          <w:color w:val="333333"/>
          <w:sz w:val="21"/>
          <w:szCs w:val="21"/>
        </w:rPr>
      </w:pPr>
      <w:r w:rsidRPr="00AE5774">
        <w:rPr>
          <w:rFonts w:ascii="Helvetica" w:eastAsia="Times New Roman" w:hAnsi="Helvetica" w:cs="Helvetica"/>
          <w:color w:val="333333"/>
          <w:sz w:val="21"/>
          <w:szCs w:val="21"/>
        </w:rPr>
        <w:t xml:space="preserve">Once the supervisor approves the plan change, the plan is approved, and the CSWA may start counting hours as of the date the supervisor approved it. The board will still review the plan changes, but will backdate to the </w:t>
      </w:r>
      <w:proofErr w:type="spellStart"/>
      <w:r w:rsidRPr="00AE5774">
        <w:rPr>
          <w:rFonts w:ascii="Helvetica" w:eastAsia="Times New Roman" w:hAnsi="Helvetica" w:cs="Helvetica"/>
          <w:color w:val="333333"/>
          <w:sz w:val="21"/>
          <w:szCs w:val="21"/>
        </w:rPr>
        <w:t>superviors</w:t>
      </w:r>
      <w:proofErr w:type="spellEnd"/>
      <w:r w:rsidRPr="00AE5774">
        <w:rPr>
          <w:rFonts w:ascii="Helvetica" w:eastAsia="Times New Roman" w:hAnsi="Helvetica" w:cs="Helvetica"/>
          <w:color w:val="333333"/>
          <w:sz w:val="21"/>
          <w:szCs w:val="21"/>
        </w:rPr>
        <w:t xml:space="preserve"> approval date, if there are no issues.</w:t>
      </w:r>
    </w:p>
    <w:p w:rsidR="00AE5774" w:rsidRPr="00AE5774" w:rsidRDefault="00AE5774" w:rsidP="00AE5774">
      <w:pPr>
        <w:shd w:val="clear" w:color="auto" w:fill="F5F5F5"/>
        <w:spacing w:after="0" w:line="240" w:lineRule="auto"/>
        <w:ind w:left="5400"/>
        <w:jc w:val="right"/>
        <w:rPr>
          <w:rFonts w:ascii="Helvetica" w:eastAsia="Times New Roman" w:hAnsi="Helvetica" w:cs="Helvetica"/>
          <w:b/>
          <w:bCs/>
          <w:color w:val="333333"/>
          <w:sz w:val="21"/>
          <w:szCs w:val="21"/>
        </w:rPr>
      </w:pPr>
      <w:r w:rsidRPr="00AE5774">
        <w:rPr>
          <w:rFonts w:ascii="Helvetica" w:eastAsia="Times New Roman" w:hAnsi="Helvetica" w:cs="Helvetica"/>
          <w:b/>
          <w:bCs/>
          <w:color w:val="333333"/>
          <w:sz w:val="21"/>
          <w:szCs w:val="21"/>
        </w:rPr>
        <w:t>Forms</w:t>
      </w:r>
    </w:p>
    <w:p w:rsidR="00AE5774" w:rsidRPr="00AE5774" w:rsidRDefault="00AE5774" w:rsidP="00AE5774">
      <w:pPr>
        <w:shd w:val="clear" w:color="auto" w:fill="F5F5F5"/>
        <w:spacing w:after="0" w:line="240" w:lineRule="auto"/>
        <w:ind w:left="8100"/>
        <w:jc w:val="right"/>
        <w:rPr>
          <w:rFonts w:ascii="Helvetica" w:eastAsia="Times New Roman" w:hAnsi="Helvetica" w:cs="Helvetica"/>
          <w:b/>
          <w:bCs/>
          <w:color w:val="333333"/>
          <w:sz w:val="21"/>
          <w:szCs w:val="21"/>
        </w:rPr>
      </w:pPr>
      <w:r w:rsidRPr="00AE5774">
        <w:rPr>
          <w:rFonts w:ascii="Helvetica" w:eastAsia="Times New Roman" w:hAnsi="Helvetica" w:cs="Helvetica"/>
          <w:b/>
          <w:bCs/>
          <w:color w:val="333333"/>
          <w:sz w:val="21"/>
          <w:szCs w:val="21"/>
        </w:rPr>
        <w:t>Supervisor responsibility</w:t>
      </w:r>
    </w:p>
    <w:p w:rsidR="00AE5774" w:rsidRPr="00AE5774" w:rsidRDefault="00AE5774" w:rsidP="00AE5774">
      <w:pPr>
        <w:shd w:val="clear" w:color="auto" w:fill="F5F5F5"/>
        <w:spacing w:after="150" w:line="240" w:lineRule="auto"/>
        <w:ind w:left="720"/>
        <w:rPr>
          <w:rFonts w:ascii="Helvetica" w:eastAsia="Times New Roman" w:hAnsi="Helvetica" w:cs="Helvetica"/>
          <w:color w:val="333333"/>
          <w:sz w:val="21"/>
          <w:szCs w:val="21"/>
        </w:rPr>
      </w:pPr>
      <w:r w:rsidRPr="00AE5774">
        <w:rPr>
          <w:rFonts w:ascii="Helvetica" w:eastAsia="Times New Roman" w:hAnsi="Helvetica" w:cs="Helvetica"/>
          <w:color w:val="333333"/>
          <w:sz w:val="21"/>
          <w:szCs w:val="21"/>
        </w:rPr>
        <w:t xml:space="preserve">​Once the CSWA submits the plan, the supervisor will need to log onto </w:t>
      </w:r>
      <w:proofErr w:type="spellStart"/>
      <w:r w:rsidRPr="00AE5774">
        <w:rPr>
          <w:rFonts w:ascii="Helvetica" w:eastAsia="Times New Roman" w:hAnsi="Helvetica" w:cs="Helvetica"/>
          <w:color w:val="333333"/>
          <w:sz w:val="21"/>
          <w:szCs w:val="21"/>
        </w:rPr>
        <w:t>thier</w:t>
      </w:r>
      <w:proofErr w:type="spellEnd"/>
      <w:r w:rsidRPr="00AE5774">
        <w:rPr>
          <w:rFonts w:ascii="Helvetica" w:eastAsia="Times New Roman" w:hAnsi="Helvetica" w:cs="Helvetica"/>
          <w:color w:val="333333"/>
          <w:sz w:val="21"/>
          <w:szCs w:val="21"/>
        </w:rPr>
        <w:t xml:space="preserve"> portal to review/approve it. All supervisors need to approve the plan through the new license portal. </w:t>
      </w:r>
      <w:proofErr w:type="gramStart"/>
      <w:r w:rsidRPr="00AE5774">
        <w:rPr>
          <w:rFonts w:ascii="Helvetica" w:eastAsia="Times New Roman" w:hAnsi="Helvetica" w:cs="Helvetica"/>
          <w:color w:val="333333"/>
          <w:sz w:val="21"/>
          <w:szCs w:val="21"/>
        </w:rPr>
        <w:t>except</w:t>
      </w:r>
      <w:proofErr w:type="gramEnd"/>
      <w:r w:rsidRPr="00AE5774">
        <w:rPr>
          <w:rFonts w:ascii="Helvetica" w:eastAsia="Times New Roman" w:hAnsi="Helvetica" w:cs="Helvetica"/>
          <w:color w:val="333333"/>
          <w:sz w:val="21"/>
          <w:szCs w:val="21"/>
        </w:rPr>
        <w:t xml:space="preserve"> any supervisor being removed, or out of state supervisors. The out of state supervisor, or the psychologist/psychiatrist will need to use the </w:t>
      </w:r>
      <w:hyperlink r:id="rId6" w:tgtFrame="_blank" w:history="1">
        <w:r w:rsidRPr="00AE5774">
          <w:rPr>
            <w:rFonts w:ascii="Helvetica" w:eastAsia="Times New Roman" w:hAnsi="Helvetica" w:cs="Helvetica"/>
            <w:color w:val="3344DD"/>
            <w:sz w:val="21"/>
            <w:szCs w:val="21"/>
            <w:u w:val="single"/>
          </w:rPr>
          <w:t>plan of supervision</w:t>
        </w:r>
      </w:hyperlink>
      <w:r w:rsidRPr="00AE5774">
        <w:rPr>
          <w:rFonts w:ascii="Helvetica" w:eastAsia="Times New Roman" w:hAnsi="Helvetica" w:cs="Helvetica"/>
          <w:color w:val="333333"/>
          <w:sz w:val="21"/>
          <w:szCs w:val="21"/>
        </w:rPr>
        <w:t> form.</w:t>
      </w:r>
    </w:p>
    <w:p w:rsidR="00AE5774" w:rsidRPr="00AE5774" w:rsidRDefault="00AE5774" w:rsidP="00AE5774">
      <w:pPr>
        <w:shd w:val="clear" w:color="auto" w:fill="F5F5F5"/>
        <w:spacing w:after="150" w:line="240" w:lineRule="auto"/>
        <w:ind w:left="720"/>
        <w:rPr>
          <w:rFonts w:ascii="Helvetica" w:eastAsia="Times New Roman" w:hAnsi="Helvetica" w:cs="Helvetica"/>
          <w:color w:val="333333"/>
          <w:sz w:val="21"/>
          <w:szCs w:val="21"/>
        </w:rPr>
      </w:pPr>
      <w:r w:rsidRPr="00AE5774">
        <w:rPr>
          <w:rFonts w:ascii="Helvetica" w:eastAsia="Times New Roman" w:hAnsi="Helvetica" w:cs="Helvetica"/>
          <w:color w:val="333333"/>
          <w:sz w:val="21"/>
          <w:szCs w:val="21"/>
        </w:rPr>
        <w:t>It is up to the CSWA to ensure their administrative supervisor is aware of the plan and fully supports the supervision. If there is any reason the CSWA is unable to continue the plan due to agency policy or procedures, the administrative supervisor needs to contact the board office. </w:t>
      </w:r>
    </w:p>
    <w:p w:rsidR="00AE5774" w:rsidRPr="00AE5774" w:rsidRDefault="00AE5774" w:rsidP="00AE5774">
      <w:pPr>
        <w:shd w:val="clear" w:color="auto" w:fill="F5F5F5"/>
        <w:spacing w:after="150" w:line="240" w:lineRule="auto"/>
        <w:ind w:left="720"/>
        <w:rPr>
          <w:rFonts w:ascii="Helvetica" w:eastAsia="Times New Roman" w:hAnsi="Helvetica" w:cs="Helvetica"/>
          <w:color w:val="333333"/>
          <w:sz w:val="21"/>
          <w:szCs w:val="21"/>
        </w:rPr>
      </w:pPr>
      <w:r w:rsidRPr="00AE5774">
        <w:rPr>
          <w:rFonts w:ascii="Helvetica" w:eastAsia="Times New Roman" w:hAnsi="Helvetica" w:cs="Helvetica"/>
          <w:color w:val="333333"/>
          <w:sz w:val="21"/>
          <w:szCs w:val="21"/>
        </w:rPr>
        <w:t>Both individual and group clinical supervisors need to read and acknowledge their responsibilities. All clinical supervisors need to be familiar with Division 20 of our rules and laws listed below, and the CSWA process. You are signing that you will monitor the CSWA's progress, and meet the supervision requirements within the plan. All clinical supervisors need to contact the board office in writing immediately, if supervision is interrupted or terminated. This goes for employment termination, and leave of absence typically 3 weeks or longer, when it would not be feasible to meet twice per month and have content to discuss.</w:t>
      </w:r>
    </w:p>
    <w:p w:rsidR="00AE5774" w:rsidRDefault="00AE5774"/>
    <w:sectPr w:rsidR="00AE5774" w:rsidSect="00552AC7">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AC7"/>
    <w:rsid w:val="00347951"/>
    <w:rsid w:val="004F41A1"/>
    <w:rsid w:val="00552AC7"/>
    <w:rsid w:val="00AE5774"/>
    <w:rsid w:val="00C4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40A4"/>
  <w15:chartTrackingRefBased/>
  <w15:docId w15:val="{9C398A78-9536-4F98-9C9B-9C6DD7AC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2A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2AC7"/>
    <w:rPr>
      <w:b/>
      <w:bCs/>
    </w:rPr>
  </w:style>
  <w:style w:type="character" w:styleId="Hyperlink">
    <w:name w:val="Hyperlink"/>
    <w:basedOn w:val="DefaultParagraphFont"/>
    <w:uiPriority w:val="99"/>
    <w:unhideWhenUsed/>
    <w:rsid w:val="00AE5774"/>
    <w:rPr>
      <w:color w:val="0000FF"/>
      <w:u w:val="single"/>
    </w:rPr>
  </w:style>
  <w:style w:type="character" w:styleId="FollowedHyperlink">
    <w:name w:val="FollowedHyperlink"/>
    <w:basedOn w:val="DefaultParagraphFont"/>
    <w:uiPriority w:val="99"/>
    <w:semiHidden/>
    <w:unhideWhenUsed/>
    <w:rsid w:val="00C419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15859">
      <w:bodyDiv w:val="1"/>
      <w:marLeft w:val="0"/>
      <w:marRight w:val="0"/>
      <w:marTop w:val="0"/>
      <w:marBottom w:val="0"/>
      <w:divBdr>
        <w:top w:val="none" w:sz="0" w:space="0" w:color="auto"/>
        <w:left w:val="none" w:sz="0" w:space="0" w:color="auto"/>
        <w:bottom w:val="none" w:sz="0" w:space="0" w:color="auto"/>
        <w:right w:val="none" w:sz="0" w:space="0" w:color="auto"/>
      </w:divBdr>
      <w:divsChild>
        <w:div w:id="1768193369">
          <w:marLeft w:val="0"/>
          <w:marRight w:val="0"/>
          <w:marTop w:val="0"/>
          <w:marBottom w:val="0"/>
          <w:divBdr>
            <w:top w:val="none" w:sz="0" w:space="0" w:color="auto"/>
            <w:left w:val="none" w:sz="0" w:space="0" w:color="auto"/>
            <w:bottom w:val="none" w:sz="0" w:space="0" w:color="auto"/>
            <w:right w:val="none" w:sz="0" w:space="0" w:color="auto"/>
          </w:divBdr>
        </w:div>
        <w:div w:id="1931235945">
          <w:marLeft w:val="0"/>
          <w:marRight w:val="0"/>
          <w:marTop w:val="0"/>
          <w:marBottom w:val="0"/>
          <w:divBdr>
            <w:top w:val="none" w:sz="0" w:space="0" w:color="auto"/>
            <w:left w:val="none" w:sz="0" w:space="0" w:color="auto"/>
            <w:bottom w:val="none" w:sz="0" w:space="0" w:color="auto"/>
            <w:right w:val="none" w:sz="0" w:space="0" w:color="auto"/>
          </w:divBdr>
        </w:div>
      </w:divsChild>
    </w:div>
    <w:div w:id="1633831705">
      <w:bodyDiv w:val="1"/>
      <w:marLeft w:val="0"/>
      <w:marRight w:val="0"/>
      <w:marTop w:val="0"/>
      <w:marBottom w:val="0"/>
      <w:divBdr>
        <w:top w:val="none" w:sz="0" w:space="0" w:color="auto"/>
        <w:left w:val="none" w:sz="0" w:space="0" w:color="auto"/>
        <w:bottom w:val="none" w:sz="0" w:space="0" w:color="auto"/>
        <w:right w:val="none" w:sz="0" w:space="0" w:color="auto"/>
      </w:divBdr>
    </w:div>
    <w:div w:id="200855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egon.gov/blsw/Documents/PlanChangePacketUpdatedAugust2020.pdf" TargetMode="External"/><Relationship Id="rId5" Type="http://schemas.openxmlformats.org/officeDocument/2006/relationships/hyperlink" Target="https://naswor.socialworkers.org/Membership/Resources/Code-of-Ethics" TargetMode="External"/><Relationship Id="rId4" Type="http://schemas.openxmlformats.org/officeDocument/2006/relationships/hyperlink" Target="https://blsw.us.thentiacloud.net/webs/bl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Andrea B COT NGOR</dc:creator>
  <cp:keywords/>
  <dc:description/>
  <cp:lastModifiedBy>Hopkins, Andrea B COT NGOR</cp:lastModifiedBy>
  <cp:revision>2</cp:revision>
  <dcterms:created xsi:type="dcterms:W3CDTF">2021-08-19T22:27:00Z</dcterms:created>
  <dcterms:modified xsi:type="dcterms:W3CDTF">2021-08-19T23:14:00Z</dcterms:modified>
</cp:coreProperties>
</file>